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02E1" w:rsidRPr="00497CBB" w:rsidRDefault="009C02E1" w:rsidP="009C02E1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 xml:space="preserve">Załącznik nr </w:t>
      </w:r>
      <w:r w:rsidR="00F62A72">
        <w:rPr>
          <w:rFonts w:ascii="Century Gothic" w:hAnsi="Century Gothic"/>
          <w:i/>
          <w:sz w:val="20"/>
          <w:szCs w:val="20"/>
        </w:rPr>
        <w:t>3</w:t>
      </w:r>
    </w:p>
    <w:p w:rsidR="00C67F35" w:rsidRDefault="009C02E1" w:rsidP="00C67F35">
      <w:pPr>
        <w:pStyle w:val="Nagwek"/>
        <w:tabs>
          <w:tab w:val="center" w:pos="0"/>
          <w:tab w:val="right" w:pos="10773"/>
        </w:tabs>
        <w:jc w:val="center"/>
        <w:rPr>
          <w:rFonts w:ascii="Arial" w:hAnsi="Arial" w:cs="Arial"/>
          <w:sz w:val="16"/>
          <w:szCs w:val="16"/>
        </w:rPr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8A7AD7">
        <w:rPr>
          <w:rFonts w:ascii="Century Gothic" w:hAnsi="Century Gothic"/>
          <w:b/>
          <w:color w:val="000000"/>
          <w:sz w:val="20"/>
          <w:szCs w:val="20"/>
        </w:rPr>
        <w:t>0</w:t>
      </w:r>
      <w:r w:rsidR="00A36253">
        <w:rPr>
          <w:rFonts w:ascii="Century Gothic" w:hAnsi="Century Gothic"/>
          <w:b/>
          <w:color w:val="000000"/>
          <w:sz w:val="20"/>
          <w:szCs w:val="20"/>
        </w:rPr>
        <w:t>8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0</w:t>
      </w:r>
      <w:r w:rsidR="008A7AD7">
        <w:rPr>
          <w:rFonts w:ascii="Century Gothic" w:hAnsi="Century Gothic"/>
          <w:b/>
          <w:color w:val="000000"/>
          <w:sz w:val="20"/>
          <w:szCs w:val="20"/>
        </w:rPr>
        <w:t>3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8F20D5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</w:t>
      </w:r>
      <w:r w:rsidR="00C67F35">
        <w:rPr>
          <w:rFonts w:ascii="Century Gothic" w:hAnsi="Century Gothic"/>
          <w:b/>
          <w:color w:val="000000"/>
          <w:sz w:val="20"/>
          <w:szCs w:val="20"/>
        </w:rPr>
        <w:t>ZAW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 w:rsidRPr="00C67F35">
        <w:rPr>
          <w:rFonts w:ascii="Century Gothic" w:hAnsi="Century Gothic"/>
          <w:b/>
          <w:color w:val="000000"/>
          <w:sz w:val="20"/>
          <w:szCs w:val="20"/>
        </w:rPr>
        <w:t>„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Projekt „</w:t>
      </w:r>
      <w:proofErr w:type="spellStart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Międzypowiatowa</w:t>
      </w:r>
      <w:proofErr w:type="spellEnd"/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 xml:space="preserve"> droga</w:t>
      </w:r>
      <w:r w:rsidR="00706F25">
        <w:rPr>
          <w:rFonts w:ascii="Century Gothic" w:hAnsi="Century Gothic"/>
          <w:b/>
          <w:color w:val="000000"/>
          <w:sz w:val="20"/>
          <w:szCs w:val="20"/>
        </w:rPr>
        <w:t xml:space="preserve"> </w:t>
      </w:r>
      <w:r w:rsidR="00C67F35" w:rsidRPr="00C67F35">
        <w:rPr>
          <w:rFonts w:ascii="Century Gothic" w:hAnsi="Century Gothic"/>
          <w:b/>
          <w:color w:val="000000"/>
          <w:sz w:val="20"/>
          <w:szCs w:val="20"/>
        </w:rPr>
        <w:t>do edukacyjnego sukcesu szkół zawodowych powiatów dzierżoniowskiego, kłodzkiego i świdnickiego”</w:t>
      </w:r>
    </w:p>
    <w:p w:rsidR="009C02E1" w:rsidRPr="00EA40B9" w:rsidRDefault="009C02E1" w:rsidP="00EC1C92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>w</w:t>
      </w:r>
      <w:r w:rsidR="006C59D7">
        <w:rPr>
          <w:rFonts w:ascii="Century Gothic" w:hAnsi="Century Gothic"/>
          <w:color w:val="000000"/>
          <w:sz w:val="20"/>
          <w:szCs w:val="20"/>
        </w:rPr>
        <w:t> </w:t>
      </w:r>
      <w:r>
        <w:rPr>
          <w:rFonts w:ascii="Century Gothic" w:hAnsi="Century Gothic"/>
          <w:color w:val="000000"/>
          <w:sz w:val="20"/>
          <w:szCs w:val="20"/>
        </w:rPr>
        <w:t xml:space="preserve">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:rsidR="009C02E1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</w:p>
    <w:p w:rsidR="009C02E1" w:rsidRPr="0026264F" w:rsidRDefault="009C02E1" w:rsidP="009C02E1">
      <w:pPr>
        <w:spacing w:after="0" w:line="240" w:lineRule="auto"/>
        <w:rPr>
          <w:rFonts w:ascii="Century Gothic" w:hAnsi="Century Gothic"/>
          <w:b/>
          <w:sz w:val="20"/>
          <w:szCs w:val="20"/>
        </w:rPr>
      </w:pPr>
      <w:r w:rsidRPr="0026264F">
        <w:rPr>
          <w:rFonts w:ascii="Century Gothic" w:hAnsi="Century Gothic"/>
          <w:b/>
          <w:sz w:val="20"/>
          <w:szCs w:val="20"/>
        </w:rPr>
        <w:t>SZCZEGÓŁOWY OPIS PRZEDMIOTU ZAMÓWIENIA:</w:t>
      </w:r>
    </w:p>
    <w:p w:rsidR="009C02E1" w:rsidRDefault="009C02E1" w:rsidP="009C02E1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:rsidR="00FF0C0F" w:rsidRDefault="009C02E1" w:rsidP="009C02E1">
      <w:pPr>
        <w:pStyle w:val="Textbody"/>
        <w:jc w:val="both"/>
        <w:rPr>
          <w:rFonts w:ascii="Century Gothic" w:hAnsi="Century Gothic"/>
          <w:i/>
          <w:sz w:val="20"/>
          <w:szCs w:val="20"/>
        </w:rPr>
      </w:pPr>
      <w:r w:rsidRPr="00E807F3">
        <w:rPr>
          <w:rFonts w:ascii="Century Gothic" w:hAnsi="Century Gothic"/>
          <w:i/>
          <w:sz w:val="20"/>
          <w:szCs w:val="20"/>
        </w:rPr>
        <w:t>Wszystkie nazwy własne i marki handlowe urządzeń i wyposażenia zawarte w opisie przedmiotu zamówienia,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użytkowych i funkcjonalnych. Równoważne produkty i urządzenia muszą być dopuszczone do obrotu i stosowania z obowiązującym prawem. Wykonawca zobowiązany jest przedstawić na wezwanie zamawiającego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C67F35" w:rsidRPr="008A7AD7" w:rsidRDefault="00C67F35" w:rsidP="00C67F35">
      <w:pPr>
        <w:pStyle w:val="Textbody"/>
        <w:spacing w:after="0"/>
        <w:rPr>
          <w:rFonts w:ascii="Century Gothic" w:eastAsiaTheme="minorEastAsia" w:hAnsi="Century Gothic" w:cstheme="minorBidi"/>
          <w:b/>
          <w:bCs/>
          <w:color w:val="00000A"/>
          <w:kern w:val="0"/>
          <w:sz w:val="20"/>
          <w:szCs w:val="20"/>
          <w:lang w:eastAsia="pl-PL" w:bidi="ar-SA"/>
        </w:rPr>
      </w:pPr>
    </w:p>
    <w:p w:rsidR="00A36253" w:rsidRDefault="00BF1051" w:rsidP="00A36253">
      <w:pPr>
        <w:pStyle w:val="Akapitzlist"/>
        <w:numPr>
          <w:ilvl w:val="0"/>
          <w:numId w:val="23"/>
        </w:numPr>
        <w:rPr>
          <w:rFonts w:ascii="Century Gothic" w:hAnsi="Century Gothic"/>
          <w:bCs/>
          <w:sz w:val="20"/>
          <w:szCs w:val="20"/>
        </w:rPr>
      </w:pPr>
      <w:r w:rsidRPr="008A7AD7">
        <w:rPr>
          <w:rFonts w:ascii="Century Gothic" w:hAnsi="Century Gothic"/>
          <w:bCs/>
          <w:sz w:val="20"/>
          <w:szCs w:val="20"/>
        </w:rPr>
        <w:t xml:space="preserve">Monitory interaktywne 75 cali </w:t>
      </w:r>
      <w:r w:rsidR="00A36253">
        <w:rPr>
          <w:rFonts w:ascii="Century Gothic" w:hAnsi="Century Gothic"/>
          <w:bCs/>
          <w:sz w:val="20"/>
          <w:szCs w:val="20"/>
        </w:rPr>
        <w:t xml:space="preserve">w zestawie ze statywem mobilnym elektrycznym </w:t>
      </w:r>
      <w:r w:rsidRPr="008A7AD7">
        <w:rPr>
          <w:rFonts w:ascii="Century Gothic" w:hAnsi="Century Gothic"/>
          <w:bCs/>
          <w:sz w:val="20"/>
          <w:szCs w:val="20"/>
        </w:rPr>
        <w:t xml:space="preserve">– </w:t>
      </w:r>
      <w:r>
        <w:rPr>
          <w:rFonts w:ascii="Century Gothic" w:hAnsi="Century Gothic"/>
          <w:bCs/>
          <w:sz w:val="20"/>
          <w:szCs w:val="20"/>
        </w:rPr>
        <w:t>4</w:t>
      </w:r>
      <w:r w:rsidRPr="008A7AD7">
        <w:rPr>
          <w:rFonts w:ascii="Century Gothic" w:hAnsi="Century Gothic"/>
          <w:bCs/>
          <w:sz w:val="20"/>
          <w:szCs w:val="20"/>
        </w:rPr>
        <w:t xml:space="preserve"> szt.</w:t>
      </w:r>
      <w:r>
        <w:rPr>
          <w:rFonts w:ascii="Century Gothic" w:hAnsi="Century Gothic"/>
          <w:bCs/>
          <w:sz w:val="20"/>
          <w:szCs w:val="20"/>
        </w:rPr>
        <w:t xml:space="preserve">, </w:t>
      </w:r>
    </w:p>
    <w:p w:rsidR="00BF1051" w:rsidRPr="00BF1051" w:rsidRDefault="00BF1051" w:rsidP="00BF1051">
      <w:pPr>
        <w:pStyle w:val="Akapitzlist"/>
        <w:rPr>
          <w:rFonts w:ascii="Century Gothic" w:hAnsi="Century Gothic"/>
          <w:b/>
          <w:bCs/>
          <w:sz w:val="20"/>
          <w:szCs w:val="20"/>
        </w:rPr>
      </w:pPr>
      <w:r>
        <w:rPr>
          <w:rFonts w:ascii="Century Gothic" w:hAnsi="Century Gothic"/>
          <w:bCs/>
          <w:sz w:val="20"/>
          <w:szCs w:val="20"/>
        </w:rPr>
        <w:t>adresy dostawy:</w:t>
      </w:r>
    </w:p>
    <w:p w:rsidR="00BF1051" w:rsidRDefault="00804610" w:rsidP="00BF1051">
      <w:pPr>
        <w:pStyle w:val="Akapitzlist"/>
        <w:numPr>
          <w:ilvl w:val="0"/>
          <w:numId w:val="22"/>
        </w:numPr>
        <w:rPr>
          <w:rFonts w:ascii="Century Gothic" w:hAnsi="Century Gothic"/>
          <w:b/>
          <w:bCs/>
          <w:sz w:val="20"/>
          <w:szCs w:val="20"/>
        </w:rPr>
      </w:pPr>
      <w:hyperlink r:id="rId8" w:history="1">
        <w:r w:rsidR="008A7AD7" w:rsidRPr="008A7AD7">
          <w:rPr>
            <w:rFonts w:ascii="Century Gothic" w:hAnsi="Century Gothic"/>
            <w:b/>
            <w:bCs/>
            <w:sz w:val="20"/>
            <w:szCs w:val="20"/>
          </w:rPr>
          <w:t>Zespół Szkół im. Jędrzeja Śniadeckiego</w:t>
        </w:r>
      </w:hyperlink>
      <w:r w:rsidR="00E7579C">
        <w:rPr>
          <w:rFonts w:ascii="Century Gothic" w:hAnsi="Century Gothic"/>
          <w:b/>
          <w:bCs/>
          <w:sz w:val="20"/>
          <w:szCs w:val="20"/>
        </w:rPr>
        <w:t xml:space="preserve">, ul. </w:t>
      </w:r>
      <w:hyperlink r:id="rId9" w:history="1">
        <w:r w:rsidR="008A7AD7" w:rsidRPr="008A7AD7">
          <w:rPr>
            <w:rFonts w:ascii="Century Gothic" w:hAnsi="Century Gothic"/>
            <w:b/>
            <w:bCs/>
            <w:sz w:val="20"/>
            <w:szCs w:val="20"/>
          </w:rPr>
          <w:t>Zamkowa 10, 58-130 Żarów</w:t>
        </w:r>
      </w:hyperlink>
      <w:r w:rsidR="00BF1051">
        <w:rPr>
          <w:rFonts w:ascii="Century Gothic" w:hAnsi="Century Gothic"/>
          <w:b/>
          <w:bCs/>
          <w:sz w:val="20"/>
          <w:szCs w:val="20"/>
        </w:rPr>
        <w:t xml:space="preserve"> – 2 sztuki</w:t>
      </w:r>
    </w:p>
    <w:p w:rsidR="00BF1051" w:rsidRPr="00BF1051" w:rsidRDefault="00BF1051" w:rsidP="00BF1051">
      <w:pPr>
        <w:pStyle w:val="Akapitzlist"/>
        <w:numPr>
          <w:ilvl w:val="0"/>
          <w:numId w:val="22"/>
        </w:numPr>
        <w:rPr>
          <w:rFonts w:ascii="Century Gothic" w:hAnsi="Century Gothic"/>
          <w:b/>
          <w:bCs/>
          <w:sz w:val="20"/>
          <w:szCs w:val="20"/>
        </w:rPr>
      </w:pPr>
      <w:r w:rsidRPr="00BF1051">
        <w:rPr>
          <w:rFonts w:ascii="Century Gothic" w:hAnsi="Century Gothic"/>
          <w:b/>
          <w:sz w:val="20"/>
          <w:szCs w:val="20"/>
        </w:rPr>
        <w:t xml:space="preserve">Zespół Szkół Budowlano-Elektrycznych im. Jana III Sobieskiego w Świdnicy, </w:t>
      </w:r>
      <w:r w:rsidRPr="00BF1051">
        <w:rPr>
          <w:rFonts w:ascii="Century Gothic" w:hAnsi="Century Gothic"/>
          <w:b/>
          <w:bCs/>
          <w:sz w:val="20"/>
          <w:szCs w:val="20"/>
        </w:rPr>
        <w:t>ul. Wałbrzyska 35-37, 58-100 Świdnica</w:t>
      </w:r>
      <w:r>
        <w:rPr>
          <w:rFonts w:ascii="Century Gothic" w:hAnsi="Century Gothic"/>
          <w:b/>
          <w:bCs/>
          <w:sz w:val="20"/>
          <w:szCs w:val="20"/>
        </w:rPr>
        <w:t xml:space="preserve"> – 2 sztuki</w:t>
      </w:r>
    </w:p>
    <w:tbl>
      <w:tblPr>
        <w:tblW w:w="1034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4"/>
        <w:gridCol w:w="7229"/>
      </w:tblGrid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0862FB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Przeznaczenie 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</w:pPr>
            <w:r>
              <w:rPr>
                <w:rFonts w:ascii="Century Gothic" w:eastAsia="Times New Roman" w:hAnsi="Century Gothic" w:cs="Times New Roman"/>
                <w:b/>
                <w:color w:val="000000"/>
                <w:sz w:val="18"/>
                <w:szCs w:val="18"/>
              </w:rPr>
              <w:t>Minimalne parametry techniczne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podświetlenie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LED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przekątna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min. 75" cali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typ panelu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IPS o jakości nie mniejszej niż Grade A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rozdzielczość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t xml:space="preserve">min. </w:t>
            </w:r>
            <w:r w:rsidRPr="00B22E22">
              <w:t>4K (3840 x 2160)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odświeżanie ekranu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mniej niż 60Hz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wyświetlane kolory / głębia kolorów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mniej niż 10 Bit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jasność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 xml:space="preserve">nie mniej niż  449 </w:t>
            </w:r>
            <w:proofErr w:type="spellStart"/>
            <w:r w:rsidRPr="00B22E22">
              <w:t>Nits</w:t>
            </w:r>
            <w:proofErr w:type="spellEnd"/>
            <w:r w:rsidRPr="00B22E22">
              <w:t xml:space="preserve"> (cd/m2)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czas reakcji matrycy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więcej niż 8 ms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kąt widzenia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min. 178 stopni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kontrast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nie mniej niż 5000:1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proporcje ekranu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16:9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szyba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hartowane, matowe, twardość powierzchni dotykowej nie mniejsza niż H7, antyodblaskowe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22E22">
              <w:t>technologia niwelująca przestrzeń między szkłem a ekranem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706F25">
              <w:t>Żywotność podświetlania matrycy min. 50.000 godzin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technologia dotyku / pozycjonowanie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w technologii podczerwieni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 xml:space="preserve">precyzja pozycjonowania 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≤ 1 mm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lastRenderedPageBreak/>
              <w:t>narzędzie obsługi dotyku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dedykowany pisak lub palec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liczba punktów dotykowych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obsługa nie mniej niż 39 dotknięć w systemie Windows i nie mniej niż 19 dotknięć w systemie Android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wspierane systemy operacyjne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1E24CA">
              <w:t>Windows 10 - 11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HDMI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3 wejścia i min. 1 wyjście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proofErr w:type="spellStart"/>
            <w:r w:rsidRPr="005E06D6">
              <w:t>DisplayPort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1 wejście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USB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 xml:space="preserve">nie mniej niż 2 porty USB 3.2 Gen 1x1 z przodu monitora oraz nie mniej niż 2 porty USB 3.2 Gen 1x1 w tylnej części monitora oraz </w:t>
            </w:r>
            <w:r>
              <w:t xml:space="preserve">min. </w:t>
            </w:r>
            <w:r w:rsidRPr="005E06D6">
              <w:t>1 port USB 2.0 w tylnej części monitora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USB typu C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2 porty USB typu C obsługujące technologię przesyłania dźwięku, obrazu i dotyku za pomocą jednego przewodu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porty USB interfejs dotykowy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1 port USB 3.2 Gen 1x1 typu B oraz nie mniej niż 1 port USB 2.0 typu B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port LAN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nie mniej niż 2 porty typu LAN w tym jeden min. 1000BASE-T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gniazdo OPS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Wi-Fi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TAK, min. w wersji 6.0 z obsługą częstotliwości 2,4 i 5 GHz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wyjście słuchawkowe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głośniki  wbudowane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5E06D6">
              <w:t>wbudowane, minimum 2 x 19 W, na przedniej obudowie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procesor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nie mniej niż 4 rdzenie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rozdzielczość systemu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>
              <w:t xml:space="preserve">min. </w:t>
            </w:r>
            <w:r w:rsidRPr="00411048">
              <w:t>4k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RAM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nie mniej niż 8 GB RAM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pamięć wew.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 xml:space="preserve">nie mniej niż 128 GB typu </w:t>
            </w:r>
            <w:proofErr w:type="spellStart"/>
            <w:r w:rsidRPr="00411048">
              <w:t>eMMC</w:t>
            </w:r>
            <w:proofErr w:type="spellEnd"/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moduł Bluetooth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TAK, min. w wersji 5.2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procesor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411048">
              <w:t>nie mniej niż 4 rdzenie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zużycie energii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w trybie pracy max nie więcej niż 350 W, trybie czuwania nie więcej niż 0.5 W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możliwość pracy urządzenia przez 24/7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język Android / OSD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obsługa minimum 16 języków w tym języka Polskiego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 xml:space="preserve">tryb </w:t>
            </w:r>
            <w:proofErr w:type="spellStart"/>
            <w:r w:rsidRPr="00B60834">
              <w:t>plug&amp;play</w:t>
            </w:r>
            <w:proofErr w:type="spellEnd"/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uchwyt montażowy w zestawie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obsługa menadżera plików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TAK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certyfikaty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4260" w:rsidRPr="00F84260" w:rsidRDefault="00F84260" w:rsidP="00F84260">
            <w:pPr>
              <w:spacing w:after="0" w:line="240" w:lineRule="auto"/>
            </w:pPr>
            <w:r w:rsidRPr="00F84260">
              <w:t>Certyfikat ISO 9001 oraz 14001 lub certyfikat równoważny dla producenta sprzętu (dostarczyć na wezwanie zamawiającego)</w:t>
            </w:r>
          </w:p>
          <w:p w:rsidR="00706F25" w:rsidRPr="000862FB" w:rsidRDefault="00F84260" w:rsidP="00F84260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F84260">
              <w:t>Deklaracja zgodności CE (dostarczyć na wezwanie zamawiającego)</w:t>
            </w:r>
          </w:p>
        </w:tc>
      </w:tr>
      <w:tr w:rsidR="00706F25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>dołączone wyposażenie i akcesoria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25" w:rsidRPr="000862FB" w:rsidRDefault="00706F25" w:rsidP="0025335F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t xml:space="preserve">minimum dwa podwójne pisaki służące do dotyku i rysowania, uchwyt montażowy, pilot do zdalnego sterowania urządzeniem, minimum 1 sztuka przewodu HDMI, minimum 1 sztuka przewodu </w:t>
            </w:r>
            <w:proofErr w:type="spellStart"/>
            <w:r w:rsidRPr="00B60834">
              <w:t>touch</w:t>
            </w:r>
            <w:proofErr w:type="spellEnd"/>
            <w:r w:rsidRPr="00B60834">
              <w:t xml:space="preserve"> USB, przewód umożliwiający podłączenie urządzenia do zasilania</w:t>
            </w: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Oprogr</w:t>
            </w:r>
            <w:r>
              <w:rPr>
                <w:rFonts w:eastAsia="Times New Roman" w:cstheme="minorHAnsi"/>
                <w:color w:val="000000"/>
              </w:rPr>
              <w:t>a</w:t>
            </w:r>
            <w:r w:rsidRPr="00DD1591">
              <w:rPr>
                <w:rFonts w:eastAsia="Times New Roman" w:cstheme="minorHAnsi"/>
                <w:color w:val="000000"/>
              </w:rPr>
              <w:t>mowanie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aplikacja do nanoszenia notatek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system aktualizacji monitora OTA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nanoszenie notatek na dowolny obraz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tryb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odtwarzanie plików audio, wideo, obrazów, 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pdf-ów, plików Office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wbudowana przeglądarka internetowa - możliwość otwierania standardowych stron internetowych  www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instalowania aplikacji Android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funkcja współdzielenia ekranu z tabletu / telefonu typu </w:t>
            </w:r>
            <w:proofErr w:type="spellStart"/>
            <w:r w:rsidRPr="00DD1591">
              <w:rPr>
                <w:rFonts w:eastAsia="Times New Roman" w:cstheme="minorHAnsi"/>
                <w:color w:val="000000"/>
              </w:rPr>
              <w:t>ScreenShare</w:t>
            </w:r>
            <w:proofErr w:type="spellEnd"/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biblioteka graficznych zasobów edukacyjnych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lastRenderedPageBreak/>
              <w:t>interaktywne przyrządy kreślarskie min. linijka, kątomierz, ekierka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pisania dwoma kolorami i różnym rozmiarem używając jednego podwójnego fizycznego pisaka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wbudowana funkcja rejestracji obrazu pod systemem android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uruchamiania dwóch wspieranych aplikacji obok siebie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pisania różnym kolorem na niezależnych obszarach roboczych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wykonywania zrzutów ekranu oraz jego nagrywania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notowanie na ruchomym obrazie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podglądu kilku źródeł w tym samym czasie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służąca ochronie wzroku redukująca niebieskie światło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zmiany nazwy źródeł sygnału oraz wyboru źródła rozruchowego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zabezpieczenie dostępu do wspieranych aplikacji cyfrowym hasłem dostępu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przeprowadzania głosowań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wstawiania tabel w trybie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automatyczne wybudzanie monitora po wykryciu źródła sygnału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wstawiania figur 3D w trybie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wstawiania mapy myśli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funkcjonalność umożliwiająca planowanie uruchamiania i wyłączania urządzenia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funkcjonalność rozpoznawania kształtów 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oszczędzania energii w przypadku braku aktywności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korzystania z tzw. żółtych karteczek w trybie białej tablicy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współpraca z technologią INK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możliwość zmiany kompozycji ekranu tzn. tematów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 xml:space="preserve">możliwość zdalnego wyświetlania zdjęć 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  <w:r w:rsidRPr="00DD1591">
              <w:rPr>
                <w:rFonts w:eastAsia="Times New Roman" w:cstheme="minorHAnsi"/>
                <w:color w:val="000000"/>
              </w:rPr>
              <w:t>i komentarzy na monitorze przez uczniów</w:t>
            </w:r>
          </w:p>
          <w:p w:rsidR="00FC7A30" w:rsidRPr="00DD1591" w:rsidRDefault="00FC7A30" w:rsidP="00FC7A30">
            <w:pPr>
              <w:spacing w:after="0" w:line="240" w:lineRule="auto"/>
              <w:rPr>
                <w:rFonts w:eastAsia="Times New Roman" w:cstheme="minorHAnsi"/>
                <w:color w:val="000000"/>
              </w:rPr>
            </w:pP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0862FB" w:rsidRDefault="00FC7A30" w:rsidP="00FC7A30">
            <w:pPr>
              <w:spacing w:after="0" w:line="240" w:lineRule="auto"/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</w:pPr>
            <w:r w:rsidRPr="00B60834">
              <w:lastRenderedPageBreak/>
              <w:t>Gwarancja</w:t>
            </w:r>
            <w:r>
              <w:t xml:space="preserve"> i serwis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Default="00FC7A30" w:rsidP="00FC7A30">
            <w:pPr>
              <w:spacing w:after="0" w:line="240" w:lineRule="auto"/>
            </w:pPr>
            <w:r>
              <w:t>min. 3 lata</w:t>
            </w:r>
            <w:r w:rsidRPr="00B60834">
              <w:t xml:space="preserve"> gwarancji </w:t>
            </w:r>
            <w:r>
              <w:t xml:space="preserve">Producenta, </w:t>
            </w:r>
            <w:r w:rsidRPr="00B60834">
              <w:t>wsparcie serwisu technicznego, telefonicznie lub on-line</w:t>
            </w:r>
            <w:r>
              <w:t>.</w:t>
            </w:r>
          </w:p>
          <w:p w:rsidR="00FC7A30" w:rsidRDefault="00FC7A30" w:rsidP="00FC7A30">
            <w:pPr>
              <w:spacing w:after="0" w:line="240" w:lineRule="auto"/>
            </w:pPr>
            <w:r w:rsidRPr="00FC7A30">
              <w:t>Serwis urządzeń musi być realizowany przez Producenta oferowanego Monitora</w:t>
            </w:r>
          </w:p>
          <w:p w:rsidR="00FC7A30" w:rsidRDefault="00FC7A30" w:rsidP="00FC7A30">
            <w:pPr>
              <w:spacing w:after="0" w:line="240" w:lineRule="auto"/>
              <w:jc w:val="both"/>
            </w:pPr>
          </w:p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Zamawiający w formularzu ofertowym wymaga podania linku do Polskiego Serwisu Producenta oferowanego Monitora, zlokalizowanego na terenie Polski, który umożliwia: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- Pobieranie oprogramowania, aktualnych sterowników w języku Polskim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- Zgłoszeń serwisowych w języku Polskim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</w:p>
          <w:p w:rsidR="00FC7A30" w:rsidRPr="00FC7A30" w:rsidRDefault="00FC7A30" w:rsidP="00FC7A30">
            <w:pPr>
              <w:spacing w:after="0" w:line="240" w:lineRule="auto"/>
              <w:rPr>
                <w:b/>
              </w:rPr>
            </w:pPr>
            <w:r w:rsidRPr="00FC7A30">
              <w:rPr>
                <w:b/>
              </w:rPr>
              <w:t>W Przypadku nie podania linku oferta zostanie odrzucona.</w:t>
            </w:r>
          </w:p>
          <w:p w:rsidR="00FC7A30" w:rsidRPr="00FC7A30" w:rsidRDefault="00FC7A30" w:rsidP="00FC7A30">
            <w:pPr>
              <w:spacing w:after="0" w:line="240" w:lineRule="auto"/>
            </w:pP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Parametry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t>Zamawiający w formularzu ofertowym wymaga podania linku do Polskiej Strony Producenta oferowanego modelu z rzeczywistymi parametrami w języku Polskim celem sprawdzenia i potwierdzenia wszystkich parametrów sprzętowych. Zamawiający nie dopuszcza załączania kart katalogowych do oferty.</w:t>
            </w:r>
          </w:p>
          <w:p w:rsidR="00FC7A30" w:rsidRPr="00FC7A30" w:rsidRDefault="00FC7A30" w:rsidP="00FC7A30">
            <w:pPr>
              <w:spacing w:after="0" w:line="240" w:lineRule="auto"/>
              <w:jc w:val="both"/>
            </w:pPr>
          </w:p>
          <w:p w:rsidR="00FC7A30" w:rsidRPr="00F84260" w:rsidRDefault="00FC7A30" w:rsidP="00FC7A30">
            <w:pPr>
              <w:spacing w:after="0" w:line="240" w:lineRule="auto"/>
              <w:jc w:val="both"/>
              <w:rPr>
                <w:b/>
              </w:rPr>
            </w:pPr>
            <w:r w:rsidRPr="00F84260">
              <w:rPr>
                <w:b/>
              </w:rPr>
              <w:t>W Przypadku nie podania linku czy nie potwierdzenia na stronie Producenta któregokolwiek z parametrów sprzętowych oferta zostanie odrzucona.</w:t>
            </w:r>
          </w:p>
        </w:tc>
      </w:tr>
      <w:tr w:rsidR="00FC7A30" w:rsidRPr="000862FB" w:rsidTr="0025335F">
        <w:trPr>
          <w:trHeight w:val="290"/>
          <w:jc w:val="center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C7A30" w:rsidRPr="00FC7A30" w:rsidRDefault="00FC7A30" w:rsidP="00FC7A30">
            <w:pPr>
              <w:spacing w:after="0" w:line="240" w:lineRule="auto"/>
              <w:jc w:val="both"/>
            </w:pPr>
            <w:r w:rsidRPr="00FC7A30">
              <w:lastRenderedPageBreak/>
              <w:t>Montaż</w:t>
            </w:r>
          </w:p>
        </w:tc>
        <w:tc>
          <w:tcPr>
            <w:tcW w:w="7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6253" w:rsidRDefault="00A36253" w:rsidP="00FC7A30">
            <w:pPr>
              <w:spacing w:after="0" w:line="240" w:lineRule="auto"/>
              <w:jc w:val="both"/>
            </w:pPr>
            <w:r w:rsidRPr="00A36253">
              <w:t xml:space="preserve">Wykonawca dostarczy kompatybilny z oferowanym monitorem Statyw mobilny elektryczny o minimalnych parametrach: </w:t>
            </w:r>
          </w:p>
          <w:p w:rsidR="00A36253" w:rsidRDefault="00A36253" w:rsidP="00FC7A30">
            <w:pPr>
              <w:spacing w:after="0" w:line="240" w:lineRule="auto"/>
              <w:jc w:val="both"/>
            </w:pPr>
            <w:r>
              <w:t>-</w:t>
            </w:r>
            <w:r w:rsidRPr="00A36253">
              <w:t xml:space="preserve">Maksymalny udźwig min. 79 kg </w:t>
            </w:r>
          </w:p>
          <w:p w:rsidR="00A36253" w:rsidRDefault="00A36253" w:rsidP="00FC7A30">
            <w:pPr>
              <w:spacing w:after="0" w:line="240" w:lineRule="auto"/>
              <w:jc w:val="both"/>
            </w:pPr>
            <w:r>
              <w:t xml:space="preserve">-min. </w:t>
            </w:r>
            <w:r w:rsidRPr="00A36253">
              <w:t>Elektryczna oraz ręczna regulacja wysokości</w:t>
            </w:r>
          </w:p>
          <w:p w:rsidR="00A36253" w:rsidRDefault="00A36253" w:rsidP="00FC7A30">
            <w:pPr>
              <w:spacing w:after="0" w:line="240" w:lineRule="auto"/>
              <w:jc w:val="both"/>
            </w:pPr>
            <w:r>
              <w:t xml:space="preserve">-min. 1x </w:t>
            </w:r>
            <w:r w:rsidRPr="00A36253">
              <w:t xml:space="preserve"> wbudowane gniazdko zasilania</w:t>
            </w:r>
          </w:p>
          <w:p w:rsidR="00A36253" w:rsidRDefault="00A36253" w:rsidP="00FC7A30">
            <w:pPr>
              <w:spacing w:after="0" w:line="240" w:lineRule="auto"/>
              <w:jc w:val="both"/>
            </w:pPr>
            <w:r>
              <w:t>-</w:t>
            </w:r>
            <w:r w:rsidRPr="00A36253">
              <w:t xml:space="preserve">Kółka z funkcją blokady </w:t>
            </w:r>
          </w:p>
          <w:p w:rsidR="00FC7A30" w:rsidRDefault="00A36253" w:rsidP="00FC7A30">
            <w:pPr>
              <w:spacing w:after="0" w:line="240" w:lineRule="auto"/>
              <w:jc w:val="both"/>
            </w:pPr>
            <w:r>
              <w:t>-</w:t>
            </w:r>
            <w:r w:rsidRPr="00A36253">
              <w:t>Gwarancja na statyw min. 12 miesięcy.</w:t>
            </w:r>
          </w:p>
          <w:p w:rsidR="0076012B" w:rsidRPr="00FC7A30" w:rsidRDefault="0076012B" w:rsidP="00FC7A30">
            <w:pPr>
              <w:spacing w:after="0" w:line="240" w:lineRule="auto"/>
              <w:jc w:val="both"/>
            </w:pPr>
            <w:r>
              <w:t>-</w:t>
            </w:r>
            <w:r w:rsidRPr="0076012B">
              <w:rPr>
                <w:b/>
                <w:color w:val="auto"/>
              </w:rPr>
              <w:t xml:space="preserve">Dodatkowo </w:t>
            </w:r>
            <w:bookmarkStart w:id="0" w:name="_Hlk223608474"/>
            <w:r w:rsidRPr="0076012B">
              <w:rPr>
                <w:b/>
                <w:color w:val="auto"/>
              </w:rPr>
              <w:t>wykonawca zapewni montaż Monitora na statywie oraz uruchomienie.</w:t>
            </w:r>
            <w:bookmarkEnd w:id="0"/>
          </w:p>
        </w:tc>
      </w:tr>
    </w:tbl>
    <w:p w:rsidR="00FF0C0F" w:rsidRPr="00BF4CE9" w:rsidRDefault="00FF0C0F" w:rsidP="00706F25">
      <w:pPr>
        <w:pStyle w:val="Textbody"/>
        <w:spacing w:after="0"/>
      </w:pPr>
      <w:bookmarkStart w:id="1" w:name="_GoBack"/>
      <w:bookmarkEnd w:id="1"/>
    </w:p>
    <w:sectPr w:rsidR="00FF0C0F" w:rsidRPr="00BF4CE9" w:rsidSect="00AC7ECC">
      <w:headerReference w:type="default" r:id="rId10"/>
      <w:footerReference w:type="default" r:id="rId11"/>
      <w:pgSz w:w="11906" w:h="16838"/>
      <w:pgMar w:top="142" w:right="720" w:bottom="720" w:left="720" w:header="0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04610" w:rsidRDefault="00804610" w:rsidP="00E03E4E">
      <w:pPr>
        <w:spacing w:after="0" w:line="240" w:lineRule="auto"/>
      </w:pPr>
      <w:r>
        <w:separator/>
      </w:r>
    </w:p>
  </w:endnote>
  <w:endnote w:type="continuationSeparator" w:id="0">
    <w:p w:rsidR="00804610" w:rsidRDefault="00804610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20912" w:type="dxa"/>
      <w:tblLook w:val="04A0" w:firstRow="1" w:lastRow="0" w:firstColumn="1" w:lastColumn="0" w:noHBand="0" w:noVBand="1"/>
    </w:tblPr>
    <w:tblGrid>
      <w:gridCol w:w="10456"/>
      <w:gridCol w:w="10456"/>
    </w:tblGrid>
    <w:tr w:rsidR="00C67F35" w:rsidTr="00C67F35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C67F35" w:rsidRPr="00E027EF" w:rsidRDefault="00C67F35" w:rsidP="00C67F35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C67F35" w:rsidRPr="00880076" w:rsidRDefault="00C67F35" w:rsidP="00C67F35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</w:p>
      </w:tc>
    </w:tr>
  </w:tbl>
  <w:p w:rsidR="00021EA3" w:rsidRDefault="00021EA3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04610" w:rsidRDefault="00804610" w:rsidP="00E03E4E">
      <w:pPr>
        <w:spacing w:after="0" w:line="240" w:lineRule="auto"/>
      </w:pPr>
      <w:r>
        <w:separator/>
      </w:r>
    </w:p>
  </w:footnote>
  <w:footnote w:type="continuationSeparator" w:id="0">
    <w:p w:rsidR="00804610" w:rsidRDefault="00804610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21EA3" w:rsidRDefault="00021EA3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021EA3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C67F35" w:rsidRDefault="00C67F35" w:rsidP="00C67F35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:rsidR="00021EA3" w:rsidRDefault="00021EA3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021EA3" w:rsidRPr="00374CCD" w:rsidRDefault="00021EA3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7052D1"/>
    <w:multiLevelType w:val="hybridMultilevel"/>
    <w:tmpl w:val="137E181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504B6"/>
    <w:multiLevelType w:val="hybridMultilevel"/>
    <w:tmpl w:val="F028BD4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DD713C8"/>
    <w:multiLevelType w:val="hybridMultilevel"/>
    <w:tmpl w:val="4B1A7A90"/>
    <w:lvl w:ilvl="0" w:tplc="B942B6BE">
      <w:start w:val="1"/>
      <w:numFmt w:val="lowerLetter"/>
      <w:lvlText w:val="%1)"/>
      <w:lvlJc w:val="left"/>
      <w:pPr>
        <w:ind w:left="720" w:hanging="360"/>
      </w:pPr>
      <w:rPr>
        <w:rFonts w:ascii="Calibri" w:hAnsi="Calibri" w:hint="default"/>
        <w:b w:val="0"/>
        <w:i w:val="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8F50304"/>
    <w:multiLevelType w:val="hybridMultilevel"/>
    <w:tmpl w:val="0DF0F4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8A6B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EB62C3"/>
    <w:multiLevelType w:val="hybridMultilevel"/>
    <w:tmpl w:val="DDF801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43225A"/>
    <w:multiLevelType w:val="hybridMultilevel"/>
    <w:tmpl w:val="0B145894"/>
    <w:lvl w:ilvl="0" w:tplc="94A617D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F35A57"/>
    <w:multiLevelType w:val="multilevel"/>
    <w:tmpl w:val="28849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A9C06C3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027DAC"/>
    <w:multiLevelType w:val="hybridMultilevel"/>
    <w:tmpl w:val="DDF801D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674255"/>
    <w:multiLevelType w:val="hybridMultilevel"/>
    <w:tmpl w:val="A12A72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6F7614"/>
    <w:multiLevelType w:val="hybridMultilevel"/>
    <w:tmpl w:val="B7D4E474"/>
    <w:lvl w:ilvl="0" w:tplc="5DC8333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351E26"/>
    <w:multiLevelType w:val="hybridMultilevel"/>
    <w:tmpl w:val="0726AE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2575B6"/>
    <w:multiLevelType w:val="hybridMultilevel"/>
    <w:tmpl w:val="37448B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4C43D7"/>
    <w:multiLevelType w:val="hybridMultilevel"/>
    <w:tmpl w:val="AA809B5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54D0B2F"/>
    <w:multiLevelType w:val="hybridMultilevel"/>
    <w:tmpl w:val="6B8AEC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A5E6AFB"/>
    <w:multiLevelType w:val="hybridMultilevel"/>
    <w:tmpl w:val="BB540C9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B155D6E"/>
    <w:multiLevelType w:val="hybridMultilevel"/>
    <w:tmpl w:val="353A7A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EC2D90"/>
    <w:multiLevelType w:val="hybridMultilevel"/>
    <w:tmpl w:val="46FCC1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962977"/>
    <w:multiLevelType w:val="hybridMultilevel"/>
    <w:tmpl w:val="A12A728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21"/>
  </w:num>
  <w:num w:numId="3">
    <w:abstractNumId w:val="20"/>
  </w:num>
  <w:num w:numId="4">
    <w:abstractNumId w:val="16"/>
  </w:num>
  <w:num w:numId="5">
    <w:abstractNumId w:val="6"/>
  </w:num>
  <w:num w:numId="6">
    <w:abstractNumId w:val="8"/>
  </w:num>
  <w:num w:numId="7">
    <w:abstractNumId w:val="12"/>
  </w:num>
  <w:num w:numId="8">
    <w:abstractNumId w:val="7"/>
  </w:num>
  <w:num w:numId="9">
    <w:abstractNumId w:val="2"/>
  </w:num>
  <w:num w:numId="10">
    <w:abstractNumId w:val="3"/>
  </w:num>
  <w:num w:numId="11">
    <w:abstractNumId w:val="9"/>
  </w:num>
  <w:num w:numId="12">
    <w:abstractNumId w:val="11"/>
  </w:num>
  <w:num w:numId="13">
    <w:abstractNumId w:val="15"/>
  </w:num>
  <w:num w:numId="14">
    <w:abstractNumId w:val="0"/>
  </w:num>
  <w:num w:numId="15">
    <w:abstractNumId w:val="4"/>
  </w:num>
  <w:num w:numId="16">
    <w:abstractNumId w:val="10"/>
  </w:num>
  <w:num w:numId="17">
    <w:abstractNumId w:val="1"/>
  </w:num>
  <w:num w:numId="18">
    <w:abstractNumId w:val="5"/>
  </w:num>
  <w:num w:numId="19">
    <w:abstractNumId w:val="19"/>
  </w:num>
  <w:num w:numId="20">
    <w:abstractNumId w:val="13"/>
  </w:num>
  <w:num w:numId="21">
    <w:abstractNumId w:val="22"/>
  </w:num>
  <w:num w:numId="22">
    <w:abstractNumId w:val="14"/>
  </w:num>
  <w:num w:numId="2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21EA3"/>
    <w:rsid w:val="0004610A"/>
    <w:rsid w:val="00056356"/>
    <w:rsid w:val="000648D4"/>
    <w:rsid w:val="00073B3A"/>
    <w:rsid w:val="000F11CC"/>
    <w:rsid w:val="001C7DF3"/>
    <w:rsid w:val="00233311"/>
    <w:rsid w:val="00236F13"/>
    <w:rsid w:val="002558F1"/>
    <w:rsid w:val="00260264"/>
    <w:rsid w:val="002868FF"/>
    <w:rsid w:val="002B0427"/>
    <w:rsid w:val="002C57C0"/>
    <w:rsid w:val="00322CB1"/>
    <w:rsid w:val="00326A65"/>
    <w:rsid w:val="00367003"/>
    <w:rsid w:val="00374CCD"/>
    <w:rsid w:val="003815EA"/>
    <w:rsid w:val="0038192E"/>
    <w:rsid w:val="00392ABB"/>
    <w:rsid w:val="003C42E2"/>
    <w:rsid w:val="003C631D"/>
    <w:rsid w:val="003E073C"/>
    <w:rsid w:val="003F52EA"/>
    <w:rsid w:val="00510A2A"/>
    <w:rsid w:val="00556D95"/>
    <w:rsid w:val="005C7B09"/>
    <w:rsid w:val="005E0C2D"/>
    <w:rsid w:val="005F2714"/>
    <w:rsid w:val="00607BD7"/>
    <w:rsid w:val="00636D3F"/>
    <w:rsid w:val="006C253E"/>
    <w:rsid w:val="006C59D7"/>
    <w:rsid w:val="006E54C7"/>
    <w:rsid w:val="00706F25"/>
    <w:rsid w:val="00755745"/>
    <w:rsid w:val="0076012B"/>
    <w:rsid w:val="007641C6"/>
    <w:rsid w:val="00771489"/>
    <w:rsid w:val="007B48DE"/>
    <w:rsid w:val="007D27D9"/>
    <w:rsid w:val="007E545F"/>
    <w:rsid w:val="00804610"/>
    <w:rsid w:val="00806596"/>
    <w:rsid w:val="00880076"/>
    <w:rsid w:val="008A7AD7"/>
    <w:rsid w:val="008C7057"/>
    <w:rsid w:val="008D3BBF"/>
    <w:rsid w:val="008F20D5"/>
    <w:rsid w:val="0090192B"/>
    <w:rsid w:val="009146D8"/>
    <w:rsid w:val="009567C0"/>
    <w:rsid w:val="009B4387"/>
    <w:rsid w:val="009C02E1"/>
    <w:rsid w:val="009D1D45"/>
    <w:rsid w:val="00A36253"/>
    <w:rsid w:val="00A45F44"/>
    <w:rsid w:val="00A86E71"/>
    <w:rsid w:val="00A90D71"/>
    <w:rsid w:val="00AC7ECC"/>
    <w:rsid w:val="00B073AE"/>
    <w:rsid w:val="00B70CF7"/>
    <w:rsid w:val="00BE12AB"/>
    <w:rsid w:val="00BF1051"/>
    <w:rsid w:val="00BF4BF6"/>
    <w:rsid w:val="00BF4CE9"/>
    <w:rsid w:val="00C31F93"/>
    <w:rsid w:val="00C62588"/>
    <w:rsid w:val="00C67F35"/>
    <w:rsid w:val="00C71EFD"/>
    <w:rsid w:val="00CD4255"/>
    <w:rsid w:val="00D90C81"/>
    <w:rsid w:val="00DD6EE0"/>
    <w:rsid w:val="00DF6040"/>
    <w:rsid w:val="00E03E4E"/>
    <w:rsid w:val="00E27651"/>
    <w:rsid w:val="00E7579C"/>
    <w:rsid w:val="00E9409A"/>
    <w:rsid w:val="00E95530"/>
    <w:rsid w:val="00EA6345"/>
    <w:rsid w:val="00EA6BAF"/>
    <w:rsid w:val="00EB0830"/>
    <w:rsid w:val="00EC1C92"/>
    <w:rsid w:val="00EE2BE5"/>
    <w:rsid w:val="00F62A72"/>
    <w:rsid w:val="00F84260"/>
    <w:rsid w:val="00FB398C"/>
    <w:rsid w:val="00FB768E"/>
    <w:rsid w:val="00FC636E"/>
    <w:rsid w:val="00FC7A30"/>
    <w:rsid w:val="00FF0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CC8A42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F0C0F"/>
    <w:pPr>
      <w:spacing w:after="200" w:line="276" w:lineRule="auto"/>
    </w:pPr>
    <w:rPr>
      <w:rFonts w:eastAsiaTheme="minorEastAsia"/>
      <w:color w:val="00000A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F0C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F0C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F0C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F0C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F0C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F0C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F0C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F0C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F0C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FF0C0F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F0C0F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F0C0F"/>
    <w:rPr>
      <w:rFonts w:eastAsiaTheme="majorEastAsia" w:cstheme="majorBidi"/>
      <w:color w:val="2F5496" w:themeColor="accent1" w:themeShade="BF"/>
      <w:sz w:val="28"/>
      <w:szCs w:val="2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F0C0F"/>
    <w:rPr>
      <w:rFonts w:eastAsiaTheme="majorEastAsia" w:cstheme="majorBidi"/>
      <w:i/>
      <w:iCs/>
      <w:color w:val="2F5496" w:themeColor="accent1" w:themeShade="BF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F0C0F"/>
    <w:rPr>
      <w:rFonts w:eastAsiaTheme="majorEastAsia" w:cstheme="majorBidi"/>
      <w:color w:val="2F5496" w:themeColor="accent1" w:themeShade="BF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F0C0F"/>
    <w:rPr>
      <w:rFonts w:eastAsiaTheme="majorEastAsia" w:cstheme="majorBidi"/>
      <w:i/>
      <w:iCs/>
      <w:color w:val="595959" w:themeColor="text1" w:themeTint="A6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F0C0F"/>
    <w:rPr>
      <w:rFonts w:eastAsiaTheme="majorEastAsia" w:cstheme="majorBidi"/>
      <w:color w:val="595959" w:themeColor="text1" w:themeTint="A6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F0C0F"/>
    <w:rPr>
      <w:rFonts w:eastAsiaTheme="majorEastAsia" w:cstheme="majorBidi"/>
      <w:i/>
      <w:iCs/>
      <w:color w:val="272727" w:themeColor="text1" w:themeTint="D8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F0C0F"/>
    <w:rPr>
      <w:rFonts w:eastAsiaTheme="majorEastAsia" w:cstheme="majorBidi"/>
      <w:color w:val="272727" w:themeColor="text1" w:themeTint="D8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F0C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F0C0F"/>
    <w:rPr>
      <w:rFonts w:asciiTheme="majorHAnsi" w:eastAsiaTheme="majorEastAsia" w:hAnsiTheme="majorHAnsi" w:cstheme="majorBidi"/>
      <w:color w:val="00000A"/>
      <w:spacing w:val="-10"/>
      <w:kern w:val="28"/>
      <w:sz w:val="56"/>
      <w:szCs w:val="56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F0C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F0C0F"/>
    <w:rPr>
      <w:rFonts w:eastAsiaTheme="majorEastAsia" w:cstheme="majorBidi"/>
      <w:color w:val="595959" w:themeColor="text1" w:themeTint="A6"/>
      <w:spacing w:val="15"/>
      <w:sz w:val="28"/>
      <w:szCs w:val="28"/>
      <w:lang w:eastAsia="pl-PL"/>
    </w:rPr>
  </w:style>
  <w:style w:type="paragraph" w:styleId="Cytat">
    <w:name w:val="Quote"/>
    <w:basedOn w:val="Normalny"/>
    <w:next w:val="Normalny"/>
    <w:link w:val="CytatZnak"/>
    <w:uiPriority w:val="29"/>
    <w:qFormat/>
    <w:rsid w:val="00FF0C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F0C0F"/>
    <w:rPr>
      <w:rFonts w:eastAsiaTheme="minorEastAsia"/>
      <w:i/>
      <w:iCs/>
      <w:color w:val="404040" w:themeColor="text1" w:themeTint="BF"/>
      <w:lang w:eastAsia="pl-PL"/>
    </w:rPr>
  </w:style>
  <w:style w:type="paragraph" w:styleId="Akapitzlist">
    <w:name w:val="List Paragraph"/>
    <w:basedOn w:val="Normalny"/>
    <w:uiPriority w:val="34"/>
    <w:qFormat/>
    <w:rsid w:val="00FF0C0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F0C0F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F0C0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F0C0F"/>
    <w:rPr>
      <w:rFonts w:eastAsiaTheme="minorEastAsia"/>
      <w:i/>
      <w:iCs/>
      <w:color w:val="2F5496" w:themeColor="accent1" w:themeShade="BF"/>
      <w:lang w:eastAsia="pl-PL"/>
    </w:rPr>
  </w:style>
  <w:style w:type="character" w:styleId="Odwoanieintensywne">
    <w:name w:val="Intense Reference"/>
    <w:basedOn w:val="Domylnaczcionkaakapitu"/>
    <w:uiPriority w:val="32"/>
    <w:qFormat/>
    <w:rsid w:val="00FF0C0F"/>
    <w:rPr>
      <w:b/>
      <w:bCs/>
      <w:smallCaps/>
      <w:color w:val="2F5496" w:themeColor="accent1" w:themeShade="BF"/>
      <w:spacing w:val="5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F0C0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0C0F"/>
    <w:rPr>
      <w:rFonts w:eastAsiaTheme="minorEastAsia"/>
      <w:color w:val="00000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F0C0F"/>
    <w:rPr>
      <w:vertAlign w:val="superscript"/>
    </w:rPr>
  </w:style>
  <w:style w:type="paragraph" w:customStyle="1" w:styleId="Textbody">
    <w:name w:val="Text body"/>
    <w:basedOn w:val="Normalny"/>
    <w:rsid w:val="009C02E1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character" w:styleId="Uwydatnienie">
    <w:name w:val="Emphasis"/>
    <w:basedOn w:val="Domylnaczcionkaakapitu"/>
    <w:uiPriority w:val="20"/>
    <w:qFormat/>
    <w:rsid w:val="00BF105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search?sca_esv=cb0b2358a0071c17&amp;rlz=1C1GCCU_plPL1161PL1161&amp;sxsrf=ANbL-n5Kc_8g5qd9SdmARKn-YM_BpWnuxw:1772526021586&amp;q=Zesp%C3%B3%C5%82+Szk%C3%B3%C5%82+im.+J%C4%99drzeja+%C5%9Aniadeckiego&amp;si=AL3DRZELanY_V96Y0q8q1FLKlfOvH_NlT58VxGyuYFaMYKzFM2FSmKOzbPiFD_PUk_L7a5smX7a9jGDCN3i0bs2eZ0wZ8JecZXGi28bhVJBtPXnaWdbiignrOXrLGxZHZEGwKXHJOZgqR6FN_45CdbNmkp9oUqYINA%3D%3D&amp;sa=X&amp;sqi=2&amp;ved=2ahUKEwjOsvz-pYOTAxW2VfEDHRj2AIQQ_coHegQIKxAB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ogle.com/maps/place/data=!4m2!3m1!1s0x470fae127ddba9cf:0x23b073744c2a0d04?sa=X&amp;ved=1t:8290&amp;ictx=111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6CF739-7274-45C3-B5CE-A91E9A138D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1</Pages>
  <Words>1197</Words>
  <Characters>7182</Characters>
  <Application>Microsoft Office Word</Application>
  <DocSecurity>0</DocSecurity>
  <Lines>59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8363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25</cp:revision>
  <cp:lastPrinted>2025-04-23T09:52:00Z</cp:lastPrinted>
  <dcterms:created xsi:type="dcterms:W3CDTF">2025-05-12T08:32:00Z</dcterms:created>
  <dcterms:modified xsi:type="dcterms:W3CDTF">2026-03-05T12:10:00Z</dcterms:modified>
</cp:coreProperties>
</file>